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930DF" w14:textId="77777777" w:rsidR="007146B8" w:rsidRDefault="007146B8" w:rsidP="007146B8">
      <w:pPr>
        <w:autoSpaceDE w:val="0"/>
        <w:autoSpaceDN w:val="0"/>
        <w:spacing w:after="0" w:line="240" w:lineRule="auto"/>
        <w:jc w:val="both"/>
        <w:rPr>
          <w:rFonts w:ascii="Verdana" w:hAnsi="Verdana"/>
          <w:noProof/>
        </w:rPr>
      </w:pPr>
    </w:p>
    <w:p w14:paraId="1F74C7A9" w14:textId="77777777" w:rsidR="007146B8" w:rsidRDefault="007146B8" w:rsidP="007146B8">
      <w:pPr>
        <w:autoSpaceDE w:val="0"/>
        <w:autoSpaceDN w:val="0"/>
        <w:spacing w:after="0" w:line="240" w:lineRule="auto"/>
        <w:jc w:val="both"/>
        <w:rPr>
          <w:rFonts w:ascii="Verdana" w:hAnsi="Verdana"/>
          <w:noProof/>
        </w:rPr>
      </w:pPr>
      <w:r w:rsidRPr="00A51975">
        <w:rPr>
          <w:rFonts w:ascii="Verdana" w:hAnsi="Verdana"/>
          <w:b/>
          <w:noProof/>
        </w:rPr>
        <w:t>Specifikace předmětu plnění</w:t>
      </w:r>
      <w:r>
        <w:rPr>
          <w:rFonts w:ascii="Verdana" w:hAnsi="Verdana"/>
          <w:noProof/>
        </w:rPr>
        <w:t xml:space="preserve"> </w:t>
      </w:r>
    </w:p>
    <w:p w14:paraId="5E1C6068" w14:textId="77777777" w:rsidR="007146B8" w:rsidRPr="00747629" w:rsidRDefault="007146B8" w:rsidP="007146B8">
      <w:pPr>
        <w:numPr>
          <w:ilvl w:val="0"/>
          <w:numId w:val="4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Výběr finančních hotovostí (CZK a EUR) z pokladen turniketů a mincovníků veřejných WC dle    potřeby – zaplněnosti pokladny.</w:t>
      </w:r>
    </w:p>
    <w:p w14:paraId="01AB5099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Prvotní naplnění a pravidelné doplňování finanční hotovosti vždy do plného zásobníku mincí, sloužícího k vrácení rozdílu mezi platbou a cenou služby na místě.</w:t>
      </w:r>
    </w:p>
    <w:p w14:paraId="243FB6C1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Naložení zabezpečených finančních hotovostí do přepravního vozidla.</w:t>
      </w:r>
    </w:p>
    <w:p w14:paraId="3B52D44C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Zabezpečený převoz finančních hotovostí chráněnou pozemní přepravou na určené místo na jejich zpracování (přepočet, rozdělení dle hodnoty mincí a bankovek).</w:t>
      </w:r>
    </w:p>
    <w:p w14:paraId="73A72B57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Odeslání přepočtených částek na CZK a EUR účty objednatele vedené u České národní banky.</w:t>
      </w:r>
    </w:p>
    <w:p w14:paraId="6F36B099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Zajištění odstranění běžných závad pokladního systému (např. při ucpání pokladního systému mincemi či jiným předmětem, zaseknutí papíru tiskárny aj.).</w:t>
      </w:r>
    </w:p>
    <w:p w14:paraId="2021D180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Asistence při opravě (zpřístupnění pokladního systému).</w:t>
      </w:r>
    </w:p>
    <w:p w14:paraId="4C6ECEFA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Doplňování spotřebního materiálu pokladního systému (kotouče termopapíru pro tiskárny).</w:t>
      </w:r>
    </w:p>
    <w:p w14:paraId="52071E7E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Hlášení neodstranitelných závad (mimo běžné závady) ihned po zjištění.</w:t>
      </w:r>
    </w:p>
    <w:p w14:paraId="7629A129" w14:textId="77777777" w:rsidR="007146B8" w:rsidRPr="00747629" w:rsidRDefault="007146B8" w:rsidP="007146B8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0" w:line="264" w:lineRule="auto"/>
        <w:ind w:right="764"/>
        <w:jc w:val="both"/>
        <w:rPr>
          <w:rFonts w:ascii="Verdana" w:hAnsi="Verdana"/>
          <w:noProof/>
          <w:sz w:val="18"/>
          <w:szCs w:val="18"/>
        </w:rPr>
      </w:pPr>
      <w:r w:rsidRPr="00747629">
        <w:rPr>
          <w:rFonts w:ascii="Verdana" w:hAnsi="Verdana"/>
          <w:noProof/>
          <w:sz w:val="18"/>
          <w:szCs w:val="18"/>
        </w:rPr>
        <w:t>Otírání čidel, zásobníků mincí a bankovek min. 1x týdně (turniket), min. 2x měsíčně (mincovník).</w:t>
      </w:r>
    </w:p>
    <w:p w14:paraId="3618967C" w14:textId="77777777" w:rsidR="007146B8" w:rsidRPr="00634F80" w:rsidRDefault="007146B8" w:rsidP="007146B8">
      <w:pPr>
        <w:pStyle w:val="Odstavecseseznamem"/>
        <w:tabs>
          <w:tab w:val="left" w:pos="1418"/>
        </w:tabs>
        <w:spacing w:before="60" w:after="0"/>
        <w:ind w:left="817" w:right="764"/>
        <w:jc w:val="both"/>
        <w:rPr>
          <w:rFonts w:ascii="Verdana" w:hAnsi="Verdana"/>
          <w:noProof/>
        </w:rPr>
      </w:pPr>
    </w:p>
    <w:p w14:paraId="6851DECC" w14:textId="77777777" w:rsidR="007146B8" w:rsidRPr="00F70DC8" w:rsidRDefault="007146B8" w:rsidP="007146B8">
      <w:pPr>
        <w:tabs>
          <w:tab w:val="left" w:pos="1418"/>
        </w:tabs>
        <w:spacing w:before="60" w:after="60"/>
        <w:ind w:right="764"/>
        <w:jc w:val="both"/>
        <w:rPr>
          <w:rFonts w:ascii="Verdana" w:hAnsi="Verdana"/>
          <w:b/>
          <w:noProof/>
        </w:rPr>
      </w:pPr>
      <w:r w:rsidRPr="00A51975">
        <w:rPr>
          <w:rFonts w:ascii="Verdana" w:hAnsi="Verdana"/>
          <w:b/>
          <w:noProof/>
        </w:rPr>
        <w:t>Zajištění činností pro havarijní zásahy v následujících časových lhůtách:</w:t>
      </w:r>
    </w:p>
    <w:p w14:paraId="27DD2A74" w14:textId="77777777" w:rsidR="007146B8" w:rsidRPr="0085492F" w:rsidRDefault="007146B8" w:rsidP="0085492F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 xml:space="preserve">Havarijní výjezd v případě mimořádnosti a odstranění běžné závady na pokladním systému (např. při ucpání pokladního systému mincemi či jiným předmětem, zaseknutí papíru tiskárny, asistence při opravě pro zpřístupnění pokladního systému aj.) do </w:t>
      </w:r>
      <w:r w:rsidRPr="0085492F">
        <w:rPr>
          <w:rFonts w:ascii="Verdana" w:hAnsi="Verdana" w:cs="Arial"/>
          <w:noProof/>
          <w:sz w:val="18"/>
          <w:szCs w:val="18"/>
        </w:rPr>
        <w:t>2h od nahlášení závady či požadavku asistence při opravě.</w:t>
      </w:r>
    </w:p>
    <w:p w14:paraId="6AB25EA8" w14:textId="77777777" w:rsidR="007146B8" w:rsidRDefault="007146B8" w:rsidP="007146B8">
      <w:pPr>
        <w:pStyle w:val="Odstavecseseznamem"/>
        <w:tabs>
          <w:tab w:val="left" w:pos="1418"/>
        </w:tabs>
        <w:spacing w:before="60" w:after="0"/>
        <w:ind w:left="1506" w:right="764"/>
        <w:jc w:val="both"/>
        <w:rPr>
          <w:rFonts w:ascii="Verdana" w:hAnsi="Verdana"/>
          <w:noProof/>
        </w:rPr>
      </w:pPr>
    </w:p>
    <w:p w14:paraId="57E64DEA" w14:textId="77777777" w:rsidR="007146B8" w:rsidRPr="00F70DC8" w:rsidRDefault="007146B8" w:rsidP="007146B8">
      <w:pPr>
        <w:tabs>
          <w:tab w:val="left" w:pos="1418"/>
        </w:tabs>
        <w:spacing w:before="60" w:after="60"/>
        <w:ind w:right="764"/>
        <w:jc w:val="both"/>
        <w:rPr>
          <w:rFonts w:ascii="Verdana" w:hAnsi="Verdana"/>
          <w:b/>
          <w:noProof/>
        </w:rPr>
      </w:pPr>
      <w:r w:rsidRPr="00A51975">
        <w:rPr>
          <w:rFonts w:ascii="Verdana" w:hAnsi="Verdana"/>
          <w:b/>
          <w:noProof/>
        </w:rPr>
        <w:t>Referenční místa plnění a předpokláda</w:t>
      </w:r>
      <w:bookmarkStart w:id="0" w:name="_GoBack"/>
      <w:bookmarkEnd w:id="0"/>
      <w:r w:rsidRPr="00A51975">
        <w:rPr>
          <w:rFonts w:ascii="Verdana" w:hAnsi="Verdana"/>
          <w:b/>
          <w:noProof/>
        </w:rPr>
        <w:t>ná četnost výběru:</w:t>
      </w:r>
    </w:p>
    <w:p w14:paraId="3947DFA7" w14:textId="77777777" w:rsidR="007146B8" w:rsidRPr="00F70DC8" w:rsidRDefault="007146B8" w:rsidP="007146B8">
      <w:pPr>
        <w:tabs>
          <w:tab w:val="left" w:pos="1418"/>
        </w:tabs>
        <w:spacing w:before="60" w:after="60"/>
        <w:ind w:right="764"/>
        <w:jc w:val="both"/>
        <w:rPr>
          <w:rFonts w:ascii="Verdana" w:hAnsi="Verdana"/>
          <w:b/>
          <w:noProof/>
        </w:rPr>
      </w:pPr>
      <w:r w:rsidRPr="00F70DC8">
        <w:rPr>
          <w:rFonts w:ascii="Verdana" w:hAnsi="Verdana"/>
          <w:b/>
          <w:noProof/>
        </w:rPr>
        <w:t>Pokladny turniketů:</w:t>
      </w:r>
    </w:p>
    <w:p w14:paraId="155BD4C0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Beroun, 2x pokladna turniketu, výběr min. 3x týdně</w:t>
      </w:r>
    </w:p>
    <w:p w14:paraId="7EFD7D5F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Kolín, 2x pokladna turniketu, výběr min. 3x týdně</w:t>
      </w:r>
    </w:p>
    <w:p w14:paraId="5DBFAB7B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Kralupy nad Vltavou, 2x pokladna turniketu, výběr min. 2x týdně</w:t>
      </w:r>
    </w:p>
    <w:p w14:paraId="1D228532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Praha hl.n., 6x pokladna turniketu, výběr min. 5x týdně</w:t>
      </w:r>
    </w:p>
    <w:p w14:paraId="505C9E23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Praha Holešovice, 2x pokladna turniketu, výběr min. 3x týdně</w:t>
      </w:r>
    </w:p>
    <w:p w14:paraId="0C2B8FCA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Praha Smíchov, 2x pokladna turniketu, výběr min. 3x týdně</w:t>
      </w:r>
    </w:p>
    <w:p w14:paraId="7E380182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Praha Libeň, 2x pokladna turniketu, výběr min. 2x týdně</w:t>
      </w:r>
    </w:p>
    <w:p w14:paraId="459EE338" w14:textId="77777777" w:rsidR="007146B8" w:rsidRPr="00F70DC8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</w:rPr>
      </w:pPr>
      <w:r w:rsidRPr="00747629">
        <w:rPr>
          <w:rFonts w:ascii="Verdana" w:hAnsi="Verdana" w:cs="Arial"/>
          <w:noProof/>
          <w:sz w:val="18"/>
          <w:szCs w:val="18"/>
        </w:rPr>
        <w:t>Žst. Praha Vysočany, 2x pokladna turniketu, výběr min. 3x týdně</w:t>
      </w:r>
    </w:p>
    <w:p w14:paraId="7B7FB315" w14:textId="77777777" w:rsidR="007146B8" w:rsidRPr="00F70DC8" w:rsidRDefault="007146B8" w:rsidP="007146B8">
      <w:pPr>
        <w:tabs>
          <w:tab w:val="left" w:pos="1418"/>
        </w:tabs>
        <w:spacing w:before="60" w:after="60"/>
        <w:ind w:right="764"/>
        <w:jc w:val="both"/>
        <w:rPr>
          <w:rFonts w:ascii="Verdana" w:hAnsi="Verdana"/>
          <w:b/>
          <w:noProof/>
        </w:rPr>
      </w:pPr>
      <w:r w:rsidRPr="00F70DC8">
        <w:rPr>
          <w:rFonts w:ascii="Verdana" w:hAnsi="Verdana"/>
          <w:b/>
          <w:noProof/>
        </w:rPr>
        <w:t>Pokladny mincovníků:</w:t>
      </w:r>
    </w:p>
    <w:p w14:paraId="6D06215D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Čelákovice, 2x pokladna mincovníku, výběr min. 2x měsíčně</w:t>
      </w:r>
    </w:p>
    <w:p w14:paraId="1F3AECFD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Křivoklát, 1x pokladna mincovníku, výběr min. 2x měsíčně</w:t>
      </w:r>
    </w:p>
    <w:p w14:paraId="32A277A8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Kutná Hora hl.n., 2x pokladna mincovníku, výběr min. 2x měsíčně</w:t>
      </w:r>
    </w:p>
    <w:p w14:paraId="1DD54864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Milovice, 2x pokladna mincovníku, výběr min. 2x měsíčně</w:t>
      </w:r>
    </w:p>
    <w:p w14:paraId="1A46EE6F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Mnichovo Hradiště, 1x pokladna mincovníku, výběr min. 2x měsíčně</w:t>
      </w:r>
    </w:p>
    <w:p w14:paraId="2E35E474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Roztoky u Prahy, 2x pokladna mincovníku, výběr min. 2x měsíčně</w:t>
      </w:r>
    </w:p>
    <w:p w14:paraId="6489FE98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Sázava, 3x pokladna mincovníku, výběr min. 3x měsíčně</w:t>
      </w:r>
    </w:p>
    <w:p w14:paraId="1CF8FFDD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Sedlčany, 2x pokladna mincovníku, výběr min. 2x měsíčně</w:t>
      </w:r>
    </w:p>
    <w:p w14:paraId="177C7151" w14:textId="77777777" w:rsidR="007146B8" w:rsidRPr="00747629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  <w:sz w:val="18"/>
          <w:szCs w:val="18"/>
        </w:rPr>
      </w:pPr>
      <w:r w:rsidRPr="00747629">
        <w:rPr>
          <w:rFonts w:ascii="Verdana" w:hAnsi="Verdana" w:cs="Arial"/>
          <w:noProof/>
          <w:sz w:val="18"/>
          <w:szCs w:val="18"/>
        </w:rPr>
        <w:t>Žst. Úvaly, 2x pokladna mincovníku, výběr min. 2x měsíčně</w:t>
      </w:r>
    </w:p>
    <w:p w14:paraId="1C13F477" w14:textId="77777777" w:rsidR="007146B8" w:rsidRPr="00A51975" w:rsidRDefault="007146B8" w:rsidP="007146B8">
      <w:pPr>
        <w:pStyle w:val="Odstavecseseznamem"/>
        <w:numPr>
          <w:ilvl w:val="0"/>
          <w:numId w:val="7"/>
        </w:numPr>
        <w:tabs>
          <w:tab w:val="left" w:pos="1418"/>
        </w:tabs>
        <w:spacing w:before="60" w:after="60" w:line="264" w:lineRule="auto"/>
        <w:ind w:left="993" w:right="764"/>
        <w:jc w:val="both"/>
        <w:rPr>
          <w:rFonts w:ascii="Verdana" w:hAnsi="Verdana" w:cs="Arial"/>
          <w:noProof/>
        </w:rPr>
      </w:pPr>
      <w:r w:rsidRPr="00747629">
        <w:rPr>
          <w:rFonts w:ascii="Verdana" w:hAnsi="Verdana" w:cs="Arial"/>
          <w:noProof/>
          <w:sz w:val="18"/>
          <w:szCs w:val="18"/>
        </w:rPr>
        <w:t>Žst. Velim, 2x pokladna mincovníku, výběr min. 2x měsíčně</w:t>
      </w:r>
    </w:p>
    <w:p w14:paraId="44962A02" w14:textId="77777777" w:rsidR="007146B8" w:rsidRDefault="007146B8" w:rsidP="007146B8">
      <w:pPr>
        <w:pStyle w:val="Odstavecseseznamem"/>
        <w:tabs>
          <w:tab w:val="left" w:pos="1418"/>
        </w:tabs>
        <w:spacing w:before="60" w:after="60"/>
        <w:ind w:right="764"/>
        <w:jc w:val="both"/>
        <w:rPr>
          <w:rFonts w:cs="Arial"/>
          <w:b/>
        </w:rPr>
      </w:pPr>
    </w:p>
    <w:p w14:paraId="4FD67215" w14:textId="77777777" w:rsidR="007146B8" w:rsidRDefault="007146B8" w:rsidP="007146B8">
      <w:pPr>
        <w:pStyle w:val="Odstavecseseznamem"/>
        <w:tabs>
          <w:tab w:val="left" w:pos="1418"/>
        </w:tabs>
        <w:spacing w:before="60" w:after="60"/>
        <w:ind w:right="764"/>
        <w:jc w:val="both"/>
        <w:rPr>
          <w:rFonts w:ascii="Verdana" w:hAnsi="Verdana" w:cs="Arial"/>
          <w:b/>
        </w:rPr>
      </w:pPr>
      <w:r w:rsidRPr="00F70DC8">
        <w:rPr>
          <w:rFonts w:ascii="Verdana" w:hAnsi="Verdana" w:cs="Arial"/>
          <w:b/>
        </w:rPr>
        <w:t>V případě budoucího nabytí nového zařízení v rámci investiční akce je předpoklad provádění požadované činnosti i na těchto nových zařízeních v rámci obvodu OŘ Praha.</w:t>
      </w:r>
    </w:p>
    <w:p w14:paraId="4EDCDBF0" w14:textId="77777777" w:rsidR="007146B8" w:rsidRPr="00747629" w:rsidRDefault="007146B8" w:rsidP="00747629">
      <w:pPr>
        <w:tabs>
          <w:tab w:val="left" w:pos="1418"/>
        </w:tabs>
        <w:spacing w:before="60" w:after="60"/>
        <w:ind w:right="764"/>
        <w:jc w:val="both"/>
        <w:rPr>
          <w:rFonts w:ascii="Verdana" w:hAnsi="Verdana" w:cs="Arial"/>
          <w:b/>
        </w:rPr>
      </w:pPr>
    </w:p>
    <w:p w14:paraId="09EE705D" w14:textId="77777777" w:rsidR="007146B8" w:rsidRDefault="007146B8" w:rsidP="007146B8">
      <w:pPr>
        <w:tabs>
          <w:tab w:val="left" w:pos="1418"/>
        </w:tabs>
        <w:spacing w:before="60" w:after="60"/>
        <w:ind w:right="764"/>
        <w:jc w:val="both"/>
        <w:rPr>
          <w:rFonts w:ascii="Verdana" w:hAnsi="Verdana"/>
          <w:b/>
          <w:noProof/>
        </w:rPr>
      </w:pPr>
      <w:r w:rsidRPr="00D9385E">
        <w:rPr>
          <w:rFonts w:ascii="Verdana" w:hAnsi="Verdana"/>
          <w:b/>
          <w:noProof/>
        </w:rPr>
        <w:t>Upřesněný předmět zakázky:</w:t>
      </w:r>
    </w:p>
    <w:p w14:paraId="4F124989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>Poskytovatel se zavazuje poskytovat služby ve prospěch objednatele řádně, včas a bezpečně a při poskytování služeb dodržovat platné právní normy a zákony, zejména při manipulaci se střelnými zbraněmi či jinými bezpečnostními prostředky.</w:t>
      </w:r>
    </w:p>
    <w:p w14:paraId="0B9BDFF2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75EAEBDA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B50EB5">
        <w:rPr>
          <w:rFonts w:ascii="Verdana" w:eastAsia="Verdana" w:hAnsi="Verdana" w:cs="Times New Roman"/>
          <w:noProof/>
        </w:rPr>
        <w:t>Poskytovatel se zavazuje ke koordinaci objednaného počtu výběrů finanční hotovosti z pokladen turniketů a mincovníků veřejných WC vždy dle potřeby tak, aby nedocházelo k naplnění zásobníků turniketů (mincovníků) a jejich následné nefunkčnosti.</w:t>
      </w:r>
      <w:r>
        <w:rPr>
          <w:rFonts w:ascii="Verdana" w:eastAsia="Verdana" w:hAnsi="Verdana" w:cs="Times New Roman"/>
          <w:noProof/>
        </w:rPr>
        <w:t xml:space="preserve"> </w:t>
      </w:r>
    </w:p>
    <w:p w14:paraId="5066F917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196EBA9A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Poskytovatel provede systémové uzavření </w:t>
      </w:r>
      <w:r>
        <w:rPr>
          <w:rFonts w:ascii="Verdana" w:eastAsia="Verdana" w:hAnsi="Verdana" w:cs="Times New Roman"/>
          <w:noProof/>
        </w:rPr>
        <w:t xml:space="preserve">pokladního systému </w:t>
      </w:r>
      <w:r w:rsidRPr="00923ED8">
        <w:rPr>
          <w:rFonts w:ascii="Verdana" w:eastAsia="Verdana" w:hAnsi="Verdana" w:cs="Times New Roman"/>
          <w:noProof/>
        </w:rPr>
        <w:t>formou předaného příslušenství k</w:t>
      </w:r>
      <w:r>
        <w:rPr>
          <w:rFonts w:ascii="Verdana" w:eastAsia="Verdana" w:hAnsi="Verdana" w:cs="Times New Roman"/>
          <w:noProof/>
        </w:rPr>
        <w:t> </w:t>
      </w:r>
      <w:r w:rsidRPr="00923ED8">
        <w:rPr>
          <w:rFonts w:ascii="Verdana" w:eastAsia="Verdana" w:hAnsi="Verdana" w:cs="Times New Roman"/>
          <w:noProof/>
        </w:rPr>
        <w:t>turniketu</w:t>
      </w:r>
      <w:r>
        <w:rPr>
          <w:rFonts w:ascii="Verdana" w:eastAsia="Verdana" w:hAnsi="Verdana" w:cs="Times New Roman"/>
          <w:noProof/>
        </w:rPr>
        <w:t xml:space="preserve"> či mincovníku</w:t>
      </w:r>
      <w:r w:rsidRPr="00923ED8">
        <w:rPr>
          <w:rFonts w:ascii="Verdana" w:eastAsia="Verdana" w:hAnsi="Verdana" w:cs="Times New Roman"/>
          <w:noProof/>
        </w:rPr>
        <w:t xml:space="preserve"> „uzávěrková karta“</w:t>
      </w:r>
      <w:r>
        <w:rPr>
          <w:rFonts w:ascii="Verdana" w:eastAsia="Verdana" w:hAnsi="Verdana" w:cs="Times New Roman"/>
          <w:noProof/>
        </w:rPr>
        <w:t xml:space="preserve"> (pokud to zařízení technicky umožňuje)</w:t>
      </w:r>
      <w:r w:rsidRPr="00923ED8">
        <w:rPr>
          <w:rFonts w:ascii="Verdana" w:eastAsia="Verdana" w:hAnsi="Verdana" w:cs="Times New Roman"/>
          <w:noProof/>
        </w:rPr>
        <w:t>, kdy jejím použitím dojde</w:t>
      </w:r>
      <w:r>
        <w:rPr>
          <w:rFonts w:ascii="Verdana" w:eastAsia="Verdana" w:hAnsi="Verdana" w:cs="Times New Roman"/>
          <w:noProof/>
        </w:rPr>
        <w:t xml:space="preserve"> k vyjetí uzávěrkového výjezdu</w:t>
      </w:r>
      <w:r w:rsidRPr="00923ED8">
        <w:rPr>
          <w:rFonts w:ascii="Verdana" w:eastAsia="Verdana" w:hAnsi="Verdana" w:cs="Times New Roman"/>
          <w:noProof/>
        </w:rPr>
        <w:t xml:space="preserve"> a odeslání dat do systému objednatele o vybrané hotovosti z jednotlivých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, v tuto chvíli </w:t>
      </w:r>
      <w:r>
        <w:rPr>
          <w:rFonts w:ascii="Verdana" w:eastAsia="Verdana" w:hAnsi="Verdana" w:cs="Times New Roman"/>
          <w:noProof/>
        </w:rPr>
        <w:t>pokladna</w:t>
      </w:r>
      <w:r w:rsidRPr="00923ED8">
        <w:rPr>
          <w:rFonts w:ascii="Verdana" w:eastAsia="Verdana" w:hAnsi="Verdana" w:cs="Times New Roman"/>
          <w:noProof/>
        </w:rPr>
        <w:t xml:space="preserve"> začíná počítat od 0 s uložením předchozího období a stavu </w:t>
      </w:r>
      <w:r>
        <w:rPr>
          <w:rFonts w:ascii="Verdana" w:eastAsia="Verdana" w:hAnsi="Verdana" w:cs="Times New Roman"/>
          <w:noProof/>
        </w:rPr>
        <w:t>zásobníku hotovosti</w:t>
      </w:r>
      <w:r w:rsidRPr="00923ED8">
        <w:rPr>
          <w:rFonts w:ascii="Verdana" w:eastAsia="Verdana" w:hAnsi="Verdana" w:cs="Times New Roman"/>
          <w:noProof/>
        </w:rPr>
        <w:t>. Toto poskytovatel</w:t>
      </w:r>
      <w:r>
        <w:rPr>
          <w:rFonts w:ascii="Verdana" w:eastAsia="Verdana" w:hAnsi="Verdana" w:cs="Times New Roman"/>
          <w:noProof/>
        </w:rPr>
        <w:t xml:space="preserve"> provede na každé</w:t>
      </w:r>
      <w:r w:rsidRPr="00923ED8">
        <w:rPr>
          <w:rFonts w:ascii="Verdana" w:eastAsia="Verdana" w:hAnsi="Verdana" w:cs="Times New Roman"/>
          <w:noProof/>
        </w:rPr>
        <w:t xml:space="preserve"> </w:t>
      </w:r>
      <w:r>
        <w:rPr>
          <w:rFonts w:ascii="Verdana" w:eastAsia="Verdana" w:hAnsi="Verdana" w:cs="Times New Roman"/>
          <w:noProof/>
        </w:rPr>
        <w:t>pokladně</w:t>
      </w:r>
      <w:r w:rsidRPr="00923ED8">
        <w:rPr>
          <w:rFonts w:ascii="Verdana" w:eastAsia="Verdana" w:hAnsi="Verdana" w:cs="Times New Roman"/>
          <w:noProof/>
        </w:rPr>
        <w:t xml:space="preserve"> současně s ukončením výběru finanční hotovosti a následně bezprostředně po skončení přepočítávání hotovosti tentýž den provede platební příkaz k zaslání finanční hotovosti na účty </w:t>
      </w:r>
      <w:r w:rsidRPr="00634F80">
        <w:rPr>
          <w:rFonts w:ascii="Verdana" w:eastAsia="Verdana" w:hAnsi="Verdana" w:cs="Times New Roman"/>
          <w:noProof/>
        </w:rPr>
        <w:t>objednatele</w:t>
      </w:r>
      <w:r w:rsidRPr="00923ED8">
        <w:rPr>
          <w:rFonts w:ascii="Verdana" w:eastAsia="Verdana" w:hAnsi="Verdana" w:cs="Times New Roman"/>
          <w:noProof/>
        </w:rPr>
        <w:t xml:space="preserve"> u České národní banky. Takovéto zaslání finanční hotovosti na účty </w:t>
      </w:r>
      <w:r w:rsidRPr="00634F80">
        <w:rPr>
          <w:rFonts w:ascii="Verdana" w:eastAsia="Verdana" w:hAnsi="Verdana" w:cs="Times New Roman"/>
          <w:noProof/>
        </w:rPr>
        <w:t>objednatele</w:t>
      </w:r>
      <w:r w:rsidRPr="00923ED8">
        <w:rPr>
          <w:rFonts w:ascii="Verdana" w:eastAsia="Verdana" w:hAnsi="Verdana" w:cs="Times New Roman"/>
          <w:noProof/>
        </w:rPr>
        <w:t xml:space="preserve"> probíhá </w:t>
      </w:r>
      <w:r>
        <w:rPr>
          <w:rFonts w:ascii="Verdana" w:eastAsia="Verdana" w:hAnsi="Verdana" w:cs="Times New Roman"/>
          <w:noProof/>
        </w:rPr>
        <w:t>vždy v pondělí</w:t>
      </w:r>
      <w:r w:rsidRPr="00923ED8">
        <w:rPr>
          <w:rFonts w:ascii="Verdana" w:eastAsia="Verdana" w:hAnsi="Verdana" w:cs="Times New Roman"/>
          <w:noProof/>
        </w:rPr>
        <w:t xml:space="preserve"> po přepočtení finanční hotovosti. V období mezi dílčími výběry a zasláním finanční hotovosti je poskytovatel povinen bezpečně uložit přepočtenou finanční hotovost, to vše na své náklady a riziko. </w:t>
      </w:r>
    </w:p>
    <w:p w14:paraId="47F97837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4885C0C1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 systémovém uzavření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 je poskytovatel povinen poskytnout objednateli veškerou dokumentaci ze systémového uzavření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, dílčích výběrů finanční hotovosti s přesným uvedením času výběru, protokol z přepočítání finanční hotovosti a záznam o platebním příkazu o zaslání finanční hotovosti v elektronické formě, originály listinných dokumentů pak budou předány kontaktní osobě </w:t>
      </w:r>
      <w:r w:rsidRPr="00634F80">
        <w:rPr>
          <w:rFonts w:ascii="Verdana" w:eastAsia="Verdana" w:hAnsi="Verdana" w:cs="Times New Roman"/>
          <w:noProof/>
        </w:rPr>
        <w:t>objednatele</w:t>
      </w:r>
      <w:r w:rsidRPr="00923ED8">
        <w:rPr>
          <w:rFonts w:ascii="Verdana" w:eastAsia="Verdana" w:hAnsi="Verdana" w:cs="Times New Roman"/>
          <w:noProof/>
        </w:rPr>
        <w:t xml:space="preserve"> ve lhůtě 3 pracovních dní od jejich vystavení. Poskytovatel je povinen zajistit potřebný počet originálů těchto dokumentů tak, aby vždy mohl jeden originál předat </w:t>
      </w:r>
      <w:r w:rsidRPr="00634F80">
        <w:rPr>
          <w:rFonts w:ascii="Verdana" w:eastAsia="Verdana" w:hAnsi="Verdana" w:cs="Times New Roman"/>
          <w:noProof/>
        </w:rPr>
        <w:t>objednateli</w:t>
      </w:r>
      <w:r w:rsidRPr="00923ED8">
        <w:rPr>
          <w:rFonts w:ascii="Verdana" w:eastAsia="Verdana" w:hAnsi="Verdana" w:cs="Times New Roman"/>
          <w:noProof/>
        </w:rPr>
        <w:t xml:space="preserve">. </w:t>
      </w:r>
    </w:p>
    <w:p w14:paraId="4E407FBC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1B711E0D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Poskytovatel veškerou vybranou finanční hotovost uschovává až do převodu na účty </w:t>
      </w:r>
      <w:r w:rsidRPr="00634F80">
        <w:rPr>
          <w:rFonts w:ascii="Verdana" w:eastAsia="Verdana" w:hAnsi="Verdana" w:cs="Times New Roman"/>
          <w:noProof/>
        </w:rPr>
        <w:t>objednatele</w:t>
      </w:r>
      <w:r w:rsidRPr="00923ED8">
        <w:rPr>
          <w:rFonts w:ascii="Verdana" w:eastAsia="Verdana" w:hAnsi="Verdana" w:cs="Times New Roman"/>
          <w:noProof/>
        </w:rPr>
        <w:t xml:space="preserve"> na své náklady a na své riziko. Poskytovatel ručí za finanční hotovost od doby výběru této hotovosti z jednotlivých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 až do připsání finančních prostředků na účet </w:t>
      </w:r>
      <w:r w:rsidRPr="00634F80">
        <w:rPr>
          <w:rFonts w:ascii="Verdana" w:eastAsia="Verdana" w:hAnsi="Verdana" w:cs="Times New Roman"/>
          <w:noProof/>
        </w:rPr>
        <w:t>objednatele</w:t>
      </w:r>
      <w:r w:rsidRPr="00923ED8">
        <w:rPr>
          <w:rFonts w:ascii="Verdana" w:eastAsia="Verdana" w:hAnsi="Verdana" w:cs="Times New Roman"/>
          <w:noProof/>
        </w:rPr>
        <w:t>.</w:t>
      </w:r>
    </w:p>
    <w:p w14:paraId="5D9A8887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0C74788A" w14:textId="77777777" w:rsidR="007146B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Poskytovatel je povinen zajistit nepřetržitý přístup do schránek s hotovostí </w:t>
      </w:r>
      <w:r>
        <w:rPr>
          <w:rFonts w:ascii="Verdana" w:eastAsia="Verdana" w:hAnsi="Verdana" w:cs="Times New Roman"/>
          <w:noProof/>
        </w:rPr>
        <w:t xml:space="preserve">pokladen </w:t>
      </w:r>
      <w:r w:rsidRPr="00923ED8">
        <w:rPr>
          <w:rFonts w:ascii="Verdana" w:eastAsia="Verdana" w:hAnsi="Verdana" w:cs="Times New Roman"/>
          <w:noProof/>
        </w:rPr>
        <w:t xml:space="preserve">a provádět drobné servisní práce týkající se zejména zajištění průchodnosti jednotlivých vstupů hotovosti na </w:t>
      </w:r>
      <w:r w:rsidRPr="00EF18E8">
        <w:rPr>
          <w:rFonts w:ascii="Verdana" w:eastAsia="Verdana" w:hAnsi="Verdana" w:cs="Times New Roman"/>
          <w:noProof/>
        </w:rPr>
        <w:t>pokladním systému (např.</w:t>
      </w:r>
      <w:r w:rsidRPr="00923ED8">
        <w:rPr>
          <w:rFonts w:ascii="Verdana" w:eastAsia="Verdana" w:hAnsi="Verdana" w:cs="Times New Roman"/>
          <w:noProof/>
        </w:rPr>
        <w:t xml:space="preserve"> zneprůchodnění vstupu pro bankovky kreditní kartou</w:t>
      </w:r>
      <w:r>
        <w:rPr>
          <w:rFonts w:ascii="Verdana" w:eastAsia="Verdana" w:hAnsi="Verdana" w:cs="Times New Roman"/>
          <w:noProof/>
        </w:rPr>
        <w:t xml:space="preserve">, </w:t>
      </w:r>
      <w:r w:rsidRPr="00634F80">
        <w:rPr>
          <w:rFonts w:ascii="Verdana" w:eastAsia="Verdana" w:hAnsi="Verdana" w:cs="Times New Roman"/>
          <w:noProof/>
        </w:rPr>
        <w:t>ucpání pokladního systému mincemi či jiným předmětem, zaseknutí papíru tiskárny aj.</w:t>
      </w:r>
      <w:r w:rsidRPr="00923ED8">
        <w:rPr>
          <w:rFonts w:ascii="Verdana" w:eastAsia="Verdana" w:hAnsi="Verdana" w:cs="Times New Roman"/>
          <w:noProof/>
        </w:rPr>
        <w:t xml:space="preserve">) a dále </w:t>
      </w:r>
      <w:r>
        <w:rPr>
          <w:rFonts w:ascii="Verdana" w:eastAsia="Verdana" w:hAnsi="Verdana" w:cs="Times New Roman"/>
          <w:noProof/>
        </w:rPr>
        <w:t xml:space="preserve">minimálně </w:t>
      </w:r>
      <w:r w:rsidRPr="00923ED8">
        <w:rPr>
          <w:rFonts w:ascii="Verdana" w:eastAsia="Verdana" w:hAnsi="Verdana" w:cs="Times New Roman"/>
          <w:noProof/>
        </w:rPr>
        <w:t>jedenkrát týdně</w:t>
      </w:r>
      <w:r>
        <w:rPr>
          <w:rFonts w:ascii="Verdana" w:eastAsia="Verdana" w:hAnsi="Verdana" w:cs="Times New Roman"/>
          <w:noProof/>
        </w:rPr>
        <w:t xml:space="preserve"> (turniket)</w:t>
      </w:r>
      <w:r w:rsidRPr="00923ED8">
        <w:rPr>
          <w:rFonts w:ascii="Verdana" w:eastAsia="Verdana" w:hAnsi="Verdana" w:cs="Times New Roman"/>
          <w:noProof/>
        </w:rPr>
        <w:t xml:space="preserve"> </w:t>
      </w:r>
      <w:r>
        <w:rPr>
          <w:rFonts w:ascii="Verdana" w:eastAsia="Verdana" w:hAnsi="Verdana" w:cs="Times New Roman"/>
          <w:noProof/>
        </w:rPr>
        <w:t>nebo 2x měsíčně (mincovník)</w:t>
      </w:r>
      <w:r w:rsidRPr="00923ED8">
        <w:rPr>
          <w:rFonts w:ascii="Verdana" w:eastAsia="Verdana" w:hAnsi="Verdana" w:cs="Times New Roman"/>
          <w:noProof/>
        </w:rPr>
        <w:t>provést vyčištění zařízení, otření čidel a mincovníku. Tyto činnosti jsou již zahrnuty v ceně poskytovaných služeb</w:t>
      </w:r>
      <w:r>
        <w:rPr>
          <w:rFonts w:ascii="Verdana" w:eastAsia="Verdana" w:hAnsi="Verdana" w:cs="Times New Roman"/>
          <w:noProof/>
        </w:rPr>
        <w:t>.</w:t>
      </w:r>
    </w:p>
    <w:p w14:paraId="6B410346" w14:textId="77777777" w:rsidR="007146B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382776A9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Poskytovatel je povinen zajistit zpřístupnění pokladního systému při opravě (asistence při opravě).</w:t>
      </w:r>
    </w:p>
    <w:p w14:paraId="5D001054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667F45AC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Poskytovatel se zavazuje provádět přepočítání finanční hotovosti na </w:t>
      </w:r>
      <w:r w:rsidRPr="00634F80">
        <w:rPr>
          <w:rFonts w:ascii="Verdana" w:eastAsia="Verdana" w:hAnsi="Verdana" w:cs="Times New Roman"/>
          <w:noProof/>
        </w:rPr>
        <w:t>objednateli</w:t>
      </w:r>
      <w:r w:rsidRPr="00923ED8">
        <w:rPr>
          <w:rFonts w:ascii="Verdana" w:eastAsia="Verdana" w:hAnsi="Verdana" w:cs="Times New Roman"/>
          <w:noProof/>
        </w:rPr>
        <w:t xml:space="preserve"> předem oznámeném místě. </w:t>
      </w:r>
      <w:r w:rsidRPr="00634F80">
        <w:rPr>
          <w:rFonts w:ascii="Verdana" w:eastAsia="Verdana" w:hAnsi="Verdana" w:cs="Times New Roman"/>
          <w:noProof/>
        </w:rPr>
        <w:t>Objednatel</w:t>
      </w:r>
      <w:r w:rsidRPr="00923ED8">
        <w:rPr>
          <w:rFonts w:ascii="Verdana" w:eastAsia="Verdana" w:hAnsi="Verdana" w:cs="Times New Roman"/>
          <w:noProof/>
        </w:rPr>
        <w:t xml:space="preserve"> je oprávněn být tomuto přepočítání přítomen a to i bez předchozího oznámení poskytovateli. Přeprava finanční hotovosti do místa přepočítání finanční hotovosti je plně na náklady a riziko poskytovatele.</w:t>
      </w:r>
    </w:p>
    <w:p w14:paraId="3BA0CB8D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22ADA190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Poskytovatel se zavazuje přepočítávat zvlášť měnu EUR a zvlášť měnu CZK. Počty mincí a bankovek jednotlivých měn musí odpovídat údajům z elektronického systému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. Pro vyloučení pochybností </w:t>
      </w:r>
      <w:r w:rsidRPr="00634F80">
        <w:rPr>
          <w:rFonts w:ascii="Verdana" w:eastAsia="Verdana" w:hAnsi="Verdana" w:cs="Times New Roman"/>
          <w:noProof/>
        </w:rPr>
        <w:t xml:space="preserve">objednatel </w:t>
      </w:r>
      <w:r w:rsidRPr="00923ED8">
        <w:rPr>
          <w:rFonts w:ascii="Verdana" w:eastAsia="Verdana" w:hAnsi="Verdana" w:cs="Times New Roman"/>
          <w:noProof/>
        </w:rPr>
        <w:t>uvádí, že neakceptuje stav, kdy bude souhlasit výše přepočtené hotovosti na základě směnného kurzu EUR a CZK, ale musí souhlasit stav počtu mincí a bankovek jednotlivých měn.</w:t>
      </w:r>
    </w:p>
    <w:p w14:paraId="7A1BD3C5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18983131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Turnikety poskytovatele přijímají ke zpracování české </w:t>
      </w:r>
      <w:r w:rsidRPr="00923ED8">
        <w:rPr>
          <w:rFonts w:ascii="Verdana" w:eastAsia="Verdana" w:hAnsi="Verdana" w:cs="Times New Roman"/>
          <w:noProof/>
        </w:rPr>
        <w:lastRenderedPageBreak/>
        <w:t xml:space="preserve">koruny a eura (EUR mince 50 centů a 1 euro, CZK mince </w:t>
      </w:r>
      <w:r>
        <w:rPr>
          <w:rFonts w:ascii="Verdana" w:eastAsia="Verdana" w:hAnsi="Verdana" w:cs="Times New Roman"/>
          <w:noProof/>
        </w:rPr>
        <w:t xml:space="preserve">1, 2, 5, </w:t>
      </w:r>
      <w:r w:rsidRPr="00923ED8">
        <w:rPr>
          <w:rFonts w:ascii="Verdana" w:eastAsia="Verdana" w:hAnsi="Verdana" w:cs="Times New Roman"/>
          <w:noProof/>
        </w:rPr>
        <w:t>10, 20 a 50 Kč a bankovky 100 a 200 Kč). Mince EUR budou zpracovávány podle stejných zásad a postupů jako české koruny.</w:t>
      </w:r>
    </w:p>
    <w:p w14:paraId="21A3EBC3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28984BD8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O výsledcích zpracování hotovosti vyhotoví poskytovatel protokol o zpracování hotovosti pro </w:t>
      </w:r>
      <w:r w:rsidRPr="00634F80">
        <w:rPr>
          <w:rFonts w:ascii="Verdana" w:eastAsia="Verdana" w:hAnsi="Verdana" w:cs="Times New Roman"/>
          <w:noProof/>
        </w:rPr>
        <w:t>objednatele</w:t>
      </w:r>
      <w:r w:rsidRPr="00923ED8">
        <w:rPr>
          <w:rFonts w:ascii="Verdana" w:eastAsia="Verdana" w:hAnsi="Verdana" w:cs="Times New Roman"/>
          <w:noProof/>
        </w:rPr>
        <w:t xml:space="preserve"> s uvedením údajů o výsledcích zpracování hotovosti.</w:t>
      </w:r>
    </w:p>
    <w:p w14:paraId="75A25330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6F5E61B4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 Zjistí-li poskytovatel při zpracování hotovosti neplatné, poškozené nebo neúplné (necelé) bankovky či mince, předá je </w:t>
      </w:r>
      <w:r w:rsidRPr="00634F80">
        <w:rPr>
          <w:rFonts w:ascii="Verdana" w:eastAsia="Verdana" w:hAnsi="Verdana" w:cs="Times New Roman"/>
          <w:noProof/>
        </w:rPr>
        <w:t>objednateli</w:t>
      </w:r>
      <w:r w:rsidRPr="00923ED8">
        <w:rPr>
          <w:rFonts w:ascii="Verdana" w:eastAsia="Verdana" w:hAnsi="Verdana" w:cs="Times New Roman"/>
          <w:noProof/>
        </w:rPr>
        <w:t xml:space="preserve"> a počet těchto bankovek a mincí uvede v protokolu o zpracování hotovosti.</w:t>
      </w:r>
    </w:p>
    <w:p w14:paraId="12D72D9B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63FD467C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V případě, že </w:t>
      </w:r>
      <w:r w:rsidRPr="00634F80">
        <w:rPr>
          <w:rFonts w:ascii="Verdana" w:eastAsia="Verdana" w:hAnsi="Verdana" w:cs="Times New Roman"/>
          <w:noProof/>
        </w:rPr>
        <w:t>objednatel</w:t>
      </w:r>
      <w:r w:rsidRPr="00923ED8">
        <w:rPr>
          <w:rFonts w:ascii="Verdana" w:eastAsia="Verdana" w:hAnsi="Verdana" w:cs="Times New Roman"/>
          <w:noProof/>
        </w:rPr>
        <w:t xml:space="preserve"> zjistí po přepočítání finanční hotovosti rozdíl (schodek) mezi údaji uvedenými poskytovatelem a skutečným stavem – finanční hotovostí zaslanou na </w:t>
      </w:r>
      <w:r w:rsidRPr="00634F80">
        <w:rPr>
          <w:rFonts w:ascii="Verdana" w:eastAsia="Verdana" w:hAnsi="Verdana" w:cs="Times New Roman"/>
          <w:noProof/>
        </w:rPr>
        <w:t>objednatelovy</w:t>
      </w:r>
      <w:r w:rsidRPr="00923ED8">
        <w:rPr>
          <w:rFonts w:ascii="Verdana" w:eastAsia="Verdana" w:hAnsi="Verdana" w:cs="Times New Roman"/>
          <w:noProof/>
        </w:rPr>
        <w:t xml:space="preserve"> účty, odpovídá za tento rozdíl (schodek) v plném rozsahu poskytovatel. Poskytovatel také odpovídá v plném rozsahu za rozdíl (schodek) vyšší než 0,2% mezi údaji ze systémového uzavření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 a údaji z protokolu o zpracování hotovosti. </w:t>
      </w:r>
      <w:r w:rsidRPr="00634F80">
        <w:rPr>
          <w:rFonts w:ascii="Verdana" w:eastAsia="Verdana" w:hAnsi="Verdana" w:cs="Times New Roman"/>
          <w:noProof/>
        </w:rPr>
        <w:t xml:space="preserve">Objednatel </w:t>
      </w:r>
      <w:r w:rsidRPr="00923ED8">
        <w:rPr>
          <w:rFonts w:ascii="Verdana" w:eastAsia="Verdana" w:hAnsi="Verdana" w:cs="Times New Roman"/>
          <w:noProof/>
        </w:rPr>
        <w:t xml:space="preserve">pro přesnost uvádí, že může vznikat kladný rozdíl mezi skutečně vybranou finanční hotovostí a elektronickým záznamem </w:t>
      </w:r>
      <w:r>
        <w:rPr>
          <w:rFonts w:ascii="Verdana" w:eastAsia="Verdana" w:hAnsi="Verdana" w:cs="Times New Roman"/>
          <w:noProof/>
        </w:rPr>
        <w:t>pokladen</w:t>
      </w:r>
      <w:r w:rsidRPr="00923ED8">
        <w:rPr>
          <w:rFonts w:ascii="Verdana" w:eastAsia="Verdana" w:hAnsi="Verdana" w:cs="Times New Roman"/>
          <w:noProof/>
        </w:rPr>
        <w:t xml:space="preserve">. Tento kladný rozdíl připadá </w:t>
      </w:r>
      <w:r w:rsidRPr="00634F80">
        <w:rPr>
          <w:rFonts w:ascii="Verdana" w:eastAsia="Verdana" w:hAnsi="Verdana" w:cs="Times New Roman"/>
          <w:noProof/>
        </w:rPr>
        <w:t>objednateli</w:t>
      </w:r>
      <w:r w:rsidRPr="00923ED8">
        <w:rPr>
          <w:rFonts w:ascii="Verdana" w:eastAsia="Verdana" w:hAnsi="Verdana" w:cs="Times New Roman"/>
          <w:noProof/>
        </w:rPr>
        <w:t xml:space="preserve"> a poskytovatel s ním nesmí krýt žádný ze vzniklých schodků na finanční hotovosti. V případě, že bude při kontrole zjištěno, že poskytovatel takovýto přebytek </w:t>
      </w:r>
      <w:r w:rsidRPr="00634F80">
        <w:rPr>
          <w:rFonts w:ascii="Verdana" w:eastAsia="Verdana" w:hAnsi="Verdana" w:cs="Times New Roman"/>
          <w:noProof/>
        </w:rPr>
        <w:t>objednateli</w:t>
      </w:r>
      <w:r w:rsidRPr="00923ED8">
        <w:rPr>
          <w:rFonts w:ascii="Verdana" w:eastAsia="Verdana" w:hAnsi="Verdana" w:cs="Times New Roman"/>
          <w:noProof/>
        </w:rPr>
        <w:t xml:space="preserve"> zatajil, má </w:t>
      </w:r>
      <w:r w:rsidRPr="00634F80">
        <w:rPr>
          <w:rFonts w:ascii="Verdana" w:eastAsia="Verdana" w:hAnsi="Verdana" w:cs="Times New Roman"/>
          <w:noProof/>
        </w:rPr>
        <w:t>objednatel</w:t>
      </w:r>
      <w:r w:rsidRPr="00923ED8">
        <w:rPr>
          <w:rFonts w:ascii="Verdana" w:eastAsia="Verdana" w:hAnsi="Verdana" w:cs="Times New Roman"/>
          <w:noProof/>
        </w:rPr>
        <w:t xml:space="preserve"> právo odstoupit od smlouvy.</w:t>
      </w:r>
    </w:p>
    <w:p w14:paraId="0685DF36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58D0DE20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Poskytovatel prohlašuje, že splňuje veškeré předpoklady k plnění předmětu této smlouvy a má k tomu dostatečné věcné a personální zajištění a disponuje příslušnými certifikáty a oprávněními. Poskytovatel se zavazuje, že bude splňovat tyto požadavky po celou dobu trvání této smlouvy. </w:t>
      </w:r>
    </w:p>
    <w:p w14:paraId="5FE664B7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24B29A52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>V případech neočekávaných událostí (vyšší moc), které mohou mít za následek zpoždění převzetí nebo odevzdání zásilek hotovosti nebo cenností, jsou smluvní strany povinné bezodkladně informovat druhou smluvní stranu o důvodech a vykonat všechna potřebná opatření k eliminaci následků těchto událostí.</w:t>
      </w:r>
    </w:p>
    <w:p w14:paraId="72D70D75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3F2C4142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 xml:space="preserve">Předmět smlouvy musí být proveden v souladu se zadávací dokumentací a dále v souladu s veškerými relevantními právními předpisy a normami. </w:t>
      </w:r>
    </w:p>
    <w:p w14:paraId="1FD04F47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157E2984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>Jakékoliv zjištěné nepravidelnosti při poskytovaní služeb a vznik škodních událostí je poskytovatel povinen bezodkladně nahlásit objednateli telefonicky s následným písemným potvrzením (e-mailem na adresu příslušné kontaktní osoby ve věcech technických).</w:t>
      </w:r>
    </w:p>
    <w:p w14:paraId="240B74D0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668D0A74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  <w:r w:rsidRPr="00923ED8">
        <w:rPr>
          <w:rFonts w:ascii="Verdana" w:eastAsia="Verdana" w:hAnsi="Verdana" w:cs="Times New Roman"/>
          <w:noProof/>
        </w:rPr>
        <w:t>Poskytovatel se zavazuje jednat tak, aby ani jeho činností, ani v souvislosti s ní, nevznikla objednateli nebo třetí osobě škoda. Pokud ke vzniku škody přesto dojde, zavazuje se tuto škodu uhradit, včetně všech dalších výdajů s tím spojených. Poskytovatel je povinen poskytnout takovou náhradu škody, i když bude přesahovat limit pojistného krytí. Poskytovatel je povinen zahájit šetření nepravidelností a škodních událostí dle předchozího odstavce bez zbytečných odkladů a poskytnout všechnu potřebnou součinnost příslušným orgánům účastných na zjišťování relevantních skutečností.</w:t>
      </w:r>
    </w:p>
    <w:p w14:paraId="4BD6FB80" w14:textId="77777777" w:rsidR="007146B8" w:rsidRPr="00923ED8" w:rsidRDefault="007146B8" w:rsidP="007146B8">
      <w:pPr>
        <w:pStyle w:val="slovanseznam2"/>
        <w:numPr>
          <w:ilvl w:val="0"/>
          <w:numId w:val="0"/>
        </w:numPr>
        <w:rPr>
          <w:rFonts w:ascii="Verdana" w:eastAsia="Verdana" w:hAnsi="Verdana" w:cs="Times New Roman"/>
          <w:noProof/>
        </w:rPr>
      </w:pPr>
    </w:p>
    <w:p w14:paraId="117B44E7" w14:textId="77777777" w:rsidR="007146B8" w:rsidRPr="00923ED8" w:rsidRDefault="007146B8" w:rsidP="007146B8">
      <w:pPr>
        <w:tabs>
          <w:tab w:val="left" w:pos="1361"/>
        </w:tabs>
        <w:rPr>
          <w:rFonts w:ascii="Verdana" w:eastAsia="Verdana" w:hAnsi="Verdana"/>
          <w:noProof/>
        </w:rPr>
      </w:pPr>
      <w:r w:rsidRPr="00923ED8">
        <w:rPr>
          <w:rFonts w:ascii="Verdana" w:eastAsia="Verdana" w:hAnsi="Verdana"/>
          <w:noProof/>
        </w:rPr>
        <w:t>Poskytovatel se zavazuje provádět bezpečnostní služby chráněné pozemní přepravy hotovosti, výběr hotovosti a zpracování hotovosti na své nebezpečí a odpovědnost</w:t>
      </w:r>
    </w:p>
    <w:p w14:paraId="410F1EDF" w14:textId="77777777" w:rsidR="007146B8" w:rsidRPr="00923ED8" w:rsidRDefault="007146B8" w:rsidP="007146B8">
      <w:pPr>
        <w:tabs>
          <w:tab w:val="left" w:pos="1361"/>
        </w:tabs>
        <w:rPr>
          <w:rFonts w:ascii="Verdana" w:eastAsia="Verdana" w:hAnsi="Verdana"/>
          <w:noProof/>
        </w:rPr>
      </w:pPr>
      <w:r w:rsidRPr="00923ED8">
        <w:rPr>
          <w:rFonts w:ascii="Verdana" w:eastAsia="Verdana" w:hAnsi="Verdana"/>
          <w:noProof/>
        </w:rPr>
        <w:t>Poskytovatel odpovídá za činnost svých zaměstnanců a zaměstnanců poddodavatelů v plné míře.</w:t>
      </w:r>
    </w:p>
    <w:p w14:paraId="7C201964" w14:textId="77777777" w:rsidR="007146B8" w:rsidRPr="00A51975" w:rsidRDefault="007146B8" w:rsidP="007146B8">
      <w:pPr>
        <w:tabs>
          <w:tab w:val="left" w:pos="1418"/>
        </w:tabs>
        <w:spacing w:before="60" w:after="0"/>
        <w:ind w:right="764"/>
        <w:jc w:val="both"/>
        <w:rPr>
          <w:rFonts w:cs="Arial"/>
        </w:rPr>
      </w:pPr>
    </w:p>
    <w:sectPr w:rsidR="007146B8" w:rsidRPr="00A51975" w:rsidSect="00837D05">
      <w:footerReference w:type="default" r:id="rId11"/>
      <w:headerReference w:type="first" r:id="rId12"/>
      <w:pgSz w:w="11906" w:h="16838"/>
      <w:pgMar w:top="1417" w:right="1417" w:bottom="1417" w:left="1417" w:header="1701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69F7" w14:textId="77777777" w:rsidR="001B53FE" w:rsidRDefault="001B53FE" w:rsidP="003706CB">
      <w:pPr>
        <w:spacing w:after="0" w:line="240" w:lineRule="auto"/>
      </w:pPr>
      <w:r>
        <w:separator/>
      </w:r>
    </w:p>
  </w:endnote>
  <w:endnote w:type="continuationSeparator" w:id="0">
    <w:p w14:paraId="491B52CA" w14:textId="77777777" w:rsidR="001B53FE" w:rsidRDefault="001B53FE" w:rsidP="003706CB">
      <w:pPr>
        <w:spacing w:after="0" w:line="240" w:lineRule="auto"/>
      </w:pPr>
      <w:r>
        <w:continuationSeparator/>
      </w:r>
    </w:p>
  </w:endnote>
  <w:endnote w:type="continuationNotice" w:id="1">
    <w:p w14:paraId="208D9EED" w14:textId="77777777" w:rsidR="001B53FE" w:rsidRDefault="001B53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D5DA3" w14:textId="77777777" w:rsidR="00E405A8" w:rsidRPr="00E86EC1" w:rsidRDefault="00E405A8" w:rsidP="00DE3792">
    <w:pPr>
      <w:pStyle w:val="Zpat"/>
      <w:spacing w:line="200" w:lineRule="exact"/>
      <w:jc w:val="center"/>
      <w:rPr>
        <w:b/>
        <w:sz w:val="22"/>
      </w:rPr>
    </w:pPr>
  </w:p>
  <w:p w14:paraId="4AEE1BE4" w14:textId="1F89D6F8" w:rsidR="00E405A8" w:rsidRDefault="00E405A8" w:rsidP="00E405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EBB44" w14:textId="77777777" w:rsidR="001B53FE" w:rsidRDefault="001B53FE" w:rsidP="003706CB">
      <w:pPr>
        <w:spacing w:after="0" w:line="240" w:lineRule="auto"/>
      </w:pPr>
      <w:r>
        <w:separator/>
      </w:r>
    </w:p>
  </w:footnote>
  <w:footnote w:type="continuationSeparator" w:id="0">
    <w:p w14:paraId="7494BF07" w14:textId="77777777" w:rsidR="001B53FE" w:rsidRDefault="001B53FE" w:rsidP="003706CB">
      <w:pPr>
        <w:spacing w:after="0" w:line="240" w:lineRule="auto"/>
      </w:pPr>
      <w:r>
        <w:continuationSeparator/>
      </w:r>
    </w:p>
  </w:footnote>
  <w:footnote w:type="continuationNotice" w:id="1">
    <w:p w14:paraId="600F61C0" w14:textId="77777777" w:rsidR="001B53FE" w:rsidRDefault="001B53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8DE74" w14:textId="7DBA498A" w:rsidR="00E405A8" w:rsidRPr="008512E5" w:rsidRDefault="007146B8" w:rsidP="00E405A8">
    <w:pPr>
      <w:pStyle w:val="Zhlav"/>
      <w:rPr>
        <w:rFonts w:ascii="Verdana" w:hAnsi="Verdana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6EA42F5D" wp14:editId="1A636DF0">
          <wp:simplePos x="0" y="0"/>
          <wp:positionH relativeFrom="page">
            <wp:posOffset>442595</wp:posOffset>
          </wp:positionH>
          <wp:positionV relativeFrom="topMargin">
            <wp:align>bottom</wp:align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E686E74"/>
    <w:multiLevelType w:val="hybridMultilevel"/>
    <w:tmpl w:val="E3E698DE"/>
    <w:lvl w:ilvl="0" w:tplc="2FCAA3A0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7" w:hanging="360"/>
      </w:pPr>
    </w:lvl>
    <w:lvl w:ilvl="2" w:tplc="0405001B" w:tentative="1">
      <w:start w:val="1"/>
      <w:numFmt w:val="lowerRoman"/>
      <w:lvlText w:val="%3."/>
      <w:lvlJc w:val="right"/>
      <w:pPr>
        <w:ind w:left="2257" w:hanging="180"/>
      </w:pPr>
    </w:lvl>
    <w:lvl w:ilvl="3" w:tplc="0405000F" w:tentative="1">
      <w:start w:val="1"/>
      <w:numFmt w:val="decimal"/>
      <w:lvlText w:val="%4."/>
      <w:lvlJc w:val="left"/>
      <w:pPr>
        <w:ind w:left="2977" w:hanging="360"/>
      </w:pPr>
    </w:lvl>
    <w:lvl w:ilvl="4" w:tplc="04050019" w:tentative="1">
      <w:start w:val="1"/>
      <w:numFmt w:val="lowerLetter"/>
      <w:lvlText w:val="%5."/>
      <w:lvlJc w:val="left"/>
      <w:pPr>
        <w:ind w:left="3697" w:hanging="360"/>
      </w:pPr>
    </w:lvl>
    <w:lvl w:ilvl="5" w:tplc="0405001B" w:tentative="1">
      <w:start w:val="1"/>
      <w:numFmt w:val="lowerRoman"/>
      <w:lvlText w:val="%6."/>
      <w:lvlJc w:val="right"/>
      <w:pPr>
        <w:ind w:left="4417" w:hanging="180"/>
      </w:pPr>
    </w:lvl>
    <w:lvl w:ilvl="6" w:tplc="0405000F" w:tentative="1">
      <w:start w:val="1"/>
      <w:numFmt w:val="decimal"/>
      <w:lvlText w:val="%7."/>
      <w:lvlJc w:val="left"/>
      <w:pPr>
        <w:ind w:left="5137" w:hanging="360"/>
      </w:pPr>
    </w:lvl>
    <w:lvl w:ilvl="7" w:tplc="04050019" w:tentative="1">
      <w:start w:val="1"/>
      <w:numFmt w:val="lowerLetter"/>
      <w:lvlText w:val="%8."/>
      <w:lvlJc w:val="left"/>
      <w:pPr>
        <w:ind w:left="5857" w:hanging="360"/>
      </w:pPr>
    </w:lvl>
    <w:lvl w:ilvl="8" w:tplc="040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5" w15:restartNumberingAfterBreak="0">
    <w:nsid w:val="43A960B5"/>
    <w:multiLevelType w:val="hybridMultilevel"/>
    <w:tmpl w:val="80A0137C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09F3056"/>
    <w:multiLevelType w:val="hybridMultilevel"/>
    <w:tmpl w:val="D850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6EA2"/>
    <w:rsid w:val="000206B8"/>
    <w:rsid w:val="00020FF6"/>
    <w:rsid w:val="00022D53"/>
    <w:rsid w:val="00024617"/>
    <w:rsid w:val="00025E36"/>
    <w:rsid w:val="000269E4"/>
    <w:rsid w:val="0003023B"/>
    <w:rsid w:val="00033E39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81334"/>
    <w:rsid w:val="00082657"/>
    <w:rsid w:val="000826F9"/>
    <w:rsid w:val="00085E0F"/>
    <w:rsid w:val="000878CB"/>
    <w:rsid w:val="00094491"/>
    <w:rsid w:val="00096BA4"/>
    <w:rsid w:val="000978F5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B53FE"/>
    <w:rsid w:val="001C7FC3"/>
    <w:rsid w:val="001D2DB5"/>
    <w:rsid w:val="001D65ED"/>
    <w:rsid w:val="001E4EEF"/>
    <w:rsid w:val="001E638F"/>
    <w:rsid w:val="001F39B2"/>
    <w:rsid w:val="002045B1"/>
    <w:rsid w:val="00204750"/>
    <w:rsid w:val="00207873"/>
    <w:rsid w:val="00211202"/>
    <w:rsid w:val="002164BA"/>
    <w:rsid w:val="002171E6"/>
    <w:rsid w:val="00217838"/>
    <w:rsid w:val="0021788C"/>
    <w:rsid w:val="00220472"/>
    <w:rsid w:val="00224684"/>
    <w:rsid w:val="0022507E"/>
    <w:rsid w:val="0023151B"/>
    <w:rsid w:val="00232180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6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12A"/>
    <w:rsid w:val="002F78E1"/>
    <w:rsid w:val="002F7905"/>
    <w:rsid w:val="00300981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7009C"/>
    <w:rsid w:val="003706CB"/>
    <w:rsid w:val="00380192"/>
    <w:rsid w:val="003824AF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16CC"/>
    <w:rsid w:val="004735AC"/>
    <w:rsid w:val="00481FBA"/>
    <w:rsid w:val="00483564"/>
    <w:rsid w:val="00484E08"/>
    <w:rsid w:val="00490DD5"/>
    <w:rsid w:val="004A0D5B"/>
    <w:rsid w:val="004A0F48"/>
    <w:rsid w:val="004B0429"/>
    <w:rsid w:val="004B17F3"/>
    <w:rsid w:val="004B1EBA"/>
    <w:rsid w:val="004B335D"/>
    <w:rsid w:val="004B71BA"/>
    <w:rsid w:val="004B744D"/>
    <w:rsid w:val="004C28AD"/>
    <w:rsid w:val="004D235B"/>
    <w:rsid w:val="004D3F5F"/>
    <w:rsid w:val="004D47B7"/>
    <w:rsid w:val="004D795C"/>
    <w:rsid w:val="004F08D8"/>
    <w:rsid w:val="004F14F3"/>
    <w:rsid w:val="004F194C"/>
    <w:rsid w:val="004F22C3"/>
    <w:rsid w:val="004F7C35"/>
    <w:rsid w:val="0050249A"/>
    <w:rsid w:val="005030F6"/>
    <w:rsid w:val="0051023A"/>
    <w:rsid w:val="005166BE"/>
    <w:rsid w:val="00517F43"/>
    <w:rsid w:val="00520D2D"/>
    <w:rsid w:val="00521D9E"/>
    <w:rsid w:val="00523C78"/>
    <w:rsid w:val="005252EB"/>
    <w:rsid w:val="005313FB"/>
    <w:rsid w:val="005345B6"/>
    <w:rsid w:val="00551057"/>
    <w:rsid w:val="0055436A"/>
    <w:rsid w:val="00560216"/>
    <w:rsid w:val="005623F0"/>
    <w:rsid w:val="00562A02"/>
    <w:rsid w:val="00562B90"/>
    <w:rsid w:val="00563670"/>
    <w:rsid w:val="00574368"/>
    <w:rsid w:val="00587182"/>
    <w:rsid w:val="00590B63"/>
    <w:rsid w:val="00596222"/>
    <w:rsid w:val="0059769D"/>
    <w:rsid w:val="005A17D8"/>
    <w:rsid w:val="005A4E1A"/>
    <w:rsid w:val="005A517C"/>
    <w:rsid w:val="005A661E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E5DBE"/>
    <w:rsid w:val="005F5A36"/>
    <w:rsid w:val="005F6869"/>
    <w:rsid w:val="00602EEE"/>
    <w:rsid w:val="00604A2A"/>
    <w:rsid w:val="00606BB7"/>
    <w:rsid w:val="006073B6"/>
    <w:rsid w:val="006138E6"/>
    <w:rsid w:val="00613B66"/>
    <w:rsid w:val="00616498"/>
    <w:rsid w:val="00620924"/>
    <w:rsid w:val="006343DA"/>
    <w:rsid w:val="00634660"/>
    <w:rsid w:val="00642B2A"/>
    <w:rsid w:val="00643CE5"/>
    <w:rsid w:val="006452A8"/>
    <w:rsid w:val="00646FD3"/>
    <w:rsid w:val="00650C78"/>
    <w:rsid w:val="006653C8"/>
    <w:rsid w:val="00670999"/>
    <w:rsid w:val="00670F40"/>
    <w:rsid w:val="006774BD"/>
    <w:rsid w:val="00680163"/>
    <w:rsid w:val="0068231E"/>
    <w:rsid w:val="00683C37"/>
    <w:rsid w:val="006848CF"/>
    <w:rsid w:val="00691A74"/>
    <w:rsid w:val="00694A38"/>
    <w:rsid w:val="00696B10"/>
    <w:rsid w:val="0069787C"/>
    <w:rsid w:val="006A0501"/>
    <w:rsid w:val="006A0D45"/>
    <w:rsid w:val="006A2636"/>
    <w:rsid w:val="006B0D7E"/>
    <w:rsid w:val="006B230C"/>
    <w:rsid w:val="006C21B2"/>
    <w:rsid w:val="006C21FE"/>
    <w:rsid w:val="006D13CC"/>
    <w:rsid w:val="006D1ACE"/>
    <w:rsid w:val="006D2F28"/>
    <w:rsid w:val="006D734C"/>
    <w:rsid w:val="006E381A"/>
    <w:rsid w:val="006F32DE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46B8"/>
    <w:rsid w:val="00715EC9"/>
    <w:rsid w:val="00732164"/>
    <w:rsid w:val="0074181E"/>
    <w:rsid w:val="00747629"/>
    <w:rsid w:val="00754A3C"/>
    <w:rsid w:val="00762D8F"/>
    <w:rsid w:val="00764F8D"/>
    <w:rsid w:val="007650EE"/>
    <w:rsid w:val="00770533"/>
    <w:rsid w:val="007747D8"/>
    <w:rsid w:val="00775184"/>
    <w:rsid w:val="00775691"/>
    <w:rsid w:val="0077752E"/>
    <w:rsid w:val="00780CF7"/>
    <w:rsid w:val="007845D2"/>
    <w:rsid w:val="007870F2"/>
    <w:rsid w:val="007930D2"/>
    <w:rsid w:val="00794EC8"/>
    <w:rsid w:val="0079648B"/>
    <w:rsid w:val="007967E4"/>
    <w:rsid w:val="007A2C38"/>
    <w:rsid w:val="007A3E20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51DC"/>
    <w:rsid w:val="007E6705"/>
    <w:rsid w:val="007F062A"/>
    <w:rsid w:val="007F077B"/>
    <w:rsid w:val="007F0F0A"/>
    <w:rsid w:val="007F1A30"/>
    <w:rsid w:val="007F1C42"/>
    <w:rsid w:val="007F2C74"/>
    <w:rsid w:val="007F3E0C"/>
    <w:rsid w:val="007F4DE8"/>
    <w:rsid w:val="007F73AD"/>
    <w:rsid w:val="00801C83"/>
    <w:rsid w:val="00803077"/>
    <w:rsid w:val="0080685D"/>
    <w:rsid w:val="00811354"/>
    <w:rsid w:val="0081183E"/>
    <w:rsid w:val="008135F0"/>
    <w:rsid w:val="00815E99"/>
    <w:rsid w:val="00835B2F"/>
    <w:rsid w:val="0083798C"/>
    <w:rsid w:val="00837D05"/>
    <w:rsid w:val="00844542"/>
    <w:rsid w:val="0084459D"/>
    <w:rsid w:val="00846710"/>
    <w:rsid w:val="008512E5"/>
    <w:rsid w:val="0085363C"/>
    <w:rsid w:val="008542A2"/>
    <w:rsid w:val="0085492F"/>
    <w:rsid w:val="00856D9A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B4E27"/>
    <w:rsid w:val="008C1DEB"/>
    <w:rsid w:val="008C309C"/>
    <w:rsid w:val="008C566E"/>
    <w:rsid w:val="008D7572"/>
    <w:rsid w:val="008F0D1F"/>
    <w:rsid w:val="008F0E4A"/>
    <w:rsid w:val="008F1BAF"/>
    <w:rsid w:val="008F1C8F"/>
    <w:rsid w:val="0090270E"/>
    <w:rsid w:val="00902C3A"/>
    <w:rsid w:val="00903942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0FEE"/>
    <w:rsid w:val="009B1696"/>
    <w:rsid w:val="009B348A"/>
    <w:rsid w:val="009B7A3E"/>
    <w:rsid w:val="009C1FB5"/>
    <w:rsid w:val="009C5F7B"/>
    <w:rsid w:val="009F00BF"/>
    <w:rsid w:val="009F6D9E"/>
    <w:rsid w:val="00A02B02"/>
    <w:rsid w:val="00A107ED"/>
    <w:rsid w:val="00A1363F"/>
    <w:rsid w:val="00A27CD9"/>
    <w:rsid w:val="00A30FEF"/>
    <w:rsid w:val="00A316C8"/>
    <w:rsid w:val="00A34B1D"/>
    <w:rsid w:val="00A448C4"/>
    <w:rsid w:val="00A46AAE"/>
    <w:rsid w:val="00A5266B"/>
    <w:rsid w:val="00A55FA9"/>
    <w:rsid w:val="00A57C20"/>
    <w:rsid w:val="00A65FE9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AF5AF2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E7C"/>
    <w:rsid w:val="00B503FE"/>
    <w:rsid w:val="00B53C04"/>
    <w:rsid w:val="00B55A40"/>
    <w:rsid w:val="00B55BD0"/>
    <w:rsid w:val="00B614FE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5795"/>
    <w:rsid w:val="00C16FD1"/>
    <w:rsid w:val="00C24777"/>
    <w:rsid w:val="00C255A8"/>
    <w:rsid w:val="00C27675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A60AF"/>
    <w:rsid w:val="00CB6B7E"/>
    <w:rsid w:val="00CC2D9E"/>
    <w:rsid w:val="00CC5257"/>
    <w:rsid w:val="00CC64D4"/>
    <w:rsid w:val="00CC76B6"/>
    <w:rsid w:val="00CD0CE0"/>
    <w:rsid w:val="00CD0FED"/>
    <w:rsid w:val="00CD14C0"/>
    <w:rsid w:val="00CD2C94"/>
    <w:rsid w:val="00CD635A"/>
    <w:rsid w:val="00CD6F12"/>
    <w:rsid w:val="00CE0374"/>
    <w:rsid w:val="00CE410E"/>
    <w:rsid w:val="00CE4489"/>
    <w:rsid w:val="00CE7DF9"/>
    <w:rsid w:val="00CF095E"/>
    <w:rsid w:val="00CF1282"/>
    <w:rsid w:val="00CF1DB7"/>
    <w:rsid w:val="00CF4A71"/>
    <w:rsid w:val="00D04FD1"/>
    <w:rsid w:val="00D13D04"/>
    <w:rsid w:val="00D149FB"/>
    <w:rsid w:val="00D15BD0"/>
    <w:rsid w:val="00D16457"/>
    <w:rsid w:val="00D20776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1B3"/>
    <w:rsid w:val="00D85996"/>
    <w:rsid w:val="00D97787"/>
    <w:rsid w:val="00D97C72"/>
    <w:rsid w:val="00DA0469"/>
    <w:rsid w:val="00DB33CD"/>
    <w:rsid w:val="00DB6A15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611"/>
    <w:rsid w:val="00DF38A2"/>
    <w:rsid w:val="00DF3FD1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15C70"/>
    <w:rsid w:val="00E237D3"/>
    <w:rsid w:val="00E30AFD"/>
    <w:rsid w:val="00E35CAA"/>
    <w:rsid w:val="00E405A8"/>
    <w:rsid w:val="00E413C5"/>
    <w:rsid w:val="00E46045"/>
    <w:rsid w:val="00E476D0"/>
    <w:rsid w:val="00E47AA7"/>
    <w:rsid w:val="00E60F31"/>
    <w:rsid w:val="00E71957"/>
    <w:rsid w:val="00E746F8"/>
    <w:rsid w:val="00E83F13"/>
    <w:rsid w:val="00E92846"/>
    <w:rsid w:val="00E9537C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2824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17DCA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2483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1C88"/>
    <w:rsid w:val="00FA2398"/>
    <w:rsid w:val="00FA799E"/>
    <w:rsid w:val="00FB0452"/>
    <w:rsid w:val="00FB062D"/>
    <w:rsid w:val="00FB2D4F"/>
    <w:rsid w:val="00FB3281"/>
    <w:rsid w:val="00FD1161"/>
    <w:rsid w:val="00FD2AA8"/>
    <w:rsid w:val="00FE68F2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03CAA1B"/>
  <w15:docId w15:val="{1C34C812-29C6-4901-859D-BD08242E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2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3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8C309C"/>
    <w:rPr>
      <w:color w:val="605E5C"/>
      <w:shd w:val="clear" w:color="auto" w:fill="E1DFDD"/>
    </w:rPr>
  </w:style>
  <w:style w:type="paragraph" w:styleId="slovanseznam">
    <w:name w:val="List Number"/>
    <w:basedOn w:val="Normln"/>
    <w:uiPriority w:val="28"/>
    <w:unhideWhenUsed/>
    <w:rsid w:val="007146B8"/>
    <w:pPr>
      <w:numPr>
        <w:numId w:val="6"/>
      </w:numPr>
      <w:spacing w:after="0" w:line="264" w:lineRule="auto"/>
      <w:contextualSpacing/>
    </w:pPr>
    <w:rPr>
      <w:rFonts w:asciiTheme="minorHAnsi" w:eastAsiaTheme="minorHAnsi" w:hAnsiTheme="minorHAnsi" w:cstheme="minorBid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7146B8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7146B8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7146B8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7146B8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7146B8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BFEA-6932-4032-9B0C-E15842709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29326-7D18-448B-B966-B4F389CFA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0A1A2C-5E17-4963-A566-4B6787753E1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7DD698-BA76-43C6-B2E7-0E933982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1447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Vancová Lenka</cp:lastModifiedBy>
  <cp:revision>40</cp:revision>
  <cp:lastPrinted>2022-09-21T11:36:00Z</cp:lastPrinted>
  <dcterms:created xsi:type="dcterms:W3CDTF">2021-12-10T07:35:00Z</dcterms:created>
  <dcterms:modified xsi:type="dcterms:W3CDTF">2022-09-23T05:22:00Z</dcterms:modified>
</cp:coreProperties>
</file>